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24CE" w14:textId="087C8A64" w:rsidR="00C940FD" w:rsidRPr="00027191" w:rsidRDefault="000F68BE" w:rsidP="00027191">
      <w:pPr>
        <w:jc w:val="center"/>
        <w:rPr>
          <w:b/>
          <w:bCs/>
        </w:rPr>
      </w:pPr>
      <w:r w:rsidRPr="00027191">
        <w:rPr>
          <w:b/>
          <w:bCs/>
        </w:rPr>
        <w:t>Circular Dichroism (CD)</w:t>
      </w:r>
      <w:r w:rsidR="000D1E6C" w:rsidRPr="00027191">
        <w:rPr>
          <w:b/>
          <w:bCs/>
        </w:rPr>
        <w:t xml:space="preserve"> - Applied </w:t>
      </w:r>
      <w:proofErr w:type="spellStart"/>
      <w:r w:rsidR="000D1E6C" w:rsidRPr="00027191">
        <w:rPr>
          <w:b/>
          <w:bCs/>
        </w:rPr>
        <w:t>Photophysics</w:t>
      </w:r>
      <w:proofErr w:type="spellEnd"/>
      <w:r w:rsidR="000D1E6C" w:rsidRPr="00027191">
        <w:rPr>
          <w:b/>
          <w:bCs/>
        </w:rPr>
        <w:t xml:space="preserve"> Q100 with an autosampler</w:t>
      </w:r>
    </w:p>
    <w:p w14:paraId="683D8957" w14:textId="77777777" w:rsidR="00D32D0E" w:rsidRDefault="00D32D0E"/>
    <w:p w14:paraId="0375D9D1" w14:textId="77777777" w:rsidR="00027191" w:rsidRPr="00027191" w:rsidRDefault="007523AE" w:rsidP="008B1510">
      <w:pPr>
        <w:ind w:left="720" w:hanging="720"/>
        <w:rPr>
          <w:b/>
          <w:bCs/>
        </w:rPr>
      </w:pPr>
      <w:r w:rsidRPr="00027191">
        <w:rPr>
          <w:b/>
          <w:bCs/>
        </w:rPr>
        <w:t>Services:</w:t>
      </w:r>
      <w:r w:rsidR="00D32D0E" w:rsidRPr="00027191">
        <w:rPr>
          <w:b/>
          <w:bCs/>
        </w:rPr>
        <w:t xml:space="preserve"> </w:t>
      </w:r>
    </w:p>
    <w:p w14:paraId="12ECBAC5" w14:textId="5B31E0EB" w:rsidR="00152F7F" w:rsidRDefault="00D32D0E">
      <w:r>
        <w:t>Biophysics Facility offers CD as an open</w:t>
      </w:r>
      <w:r w:rsidR="00E251D0">
        <w:t>-</w:t>
      </w:r>
      <w:r>
        <w:t xml:space="preserve">access instrument. </w:t>
      </w:r>
      <w:r w:rsidR="008B1510" w:rsidRPr="00AE2719">
        <w:t>First</w:t>
      </w:r>
      <w:r w:rsidR="008B1510">
        <w:t>-</w:t>
      </w:r>
      <w:r w:rsidR="008B1510" w:rsidRPr="00AE2719">
        <w:t xml:space="preserve">time </w:t>
      </w:r>
      <w:r w:rsidR="008B1510">
        <w:t>u</w:t>
      </w:r>
      <w:r w:rsidR="008B1510" w:rsidRPr="009509F8">
        <w:t xml:space="preserve">sers must complete a short training session before </w:t>
      </w:r>
      <w:r w:rsidR="008B1510">
        <w:t>gaining access to the instrument reservation calendar</w:t>
      </w:r>
      <w:r w:rsidR="008B1510" w:rsidRPr="009509F8">
        <w:t>.</w:t>
      </w:r>
    </w:p>
    <w:p w14:paraId="254A2D61" w14:textId="77777777" w:rsidR="00027191" w:rsidRPr="00027191" w:rsidRDefault="00F459EA">
      <w:pPr>
        <w:rPr>
          <w:b/>
          <w:bCs/>
        </w:rPr>
      </w:pPr>
      <w:r w:rsidRPr="00027191">
        <w:rPr>
          <w:b/>
          <w:bCs/>
        </w:rPr>
        <w:t xml:space="preserve">Location: </w:t>
      </w:r>
    </w:p>
    <w:p w14:paraId="1910268F" w14:textId="1D857E47" w:rsidR="00F459EA" w:rsidRDefault="00F459EA">
      <w:r w:rsidRPr="005128B8">
        <w:t>Building 50</w:t>
      </w:r>
      <w:r w:rsidR="005A56D9">
        <w:t>, r</w:t>
      </w:r>
      <w:r w:rsidRPr="005128B8">
        <w:t>oom</w:t>
      </w:r>
      <w:r w:rsidR="000C7BD1">
        <w:t xml:space="preserve"> 3123</w:t>
      </w:r>
    </w:p>
    <w:p w14:paraId="4D6438C5" w14:textId="77777777" w:rsidR="00D32D0E" w:rsidRDefault="00D32D0E" w:rsidP="00D32D0E">
      <w:pPr>
        <w:ind w:left="720" w:hanging="720"/>
      </w:pPr>
    </w:p>
    <w:p w14:paraId="21E9A277" w14:textId="77777777" w:rsidR="00027191" w:rsidRPr="00CA067C" w:rsidRDefault="007110C5" w:rsidP="00D32D0E">
      <w:pPr>
        <w:ind w:left="720" w:hanging="720"/>
        <w:rPr>
          <w:b/>
          <w:bCs/>
        </w:rPr>
      </w:pPr>
      <w:r w:rsidRPr="00CA067C">
        <w:rPr>
          <w:b/>
          <w:bCs/>
        </w:rPr>
        <w:t>Description:</w:t>
      </w:r>
      <w:r w:rsidR="00D32D0E" w:rsidRPr="00CA067C">
        <w:rPr>
          <w:b/>
          <w:bCs/>
        </w:rPr>
        <w:t xml:space="preserve"> </w:t>
      </w:r>
    </w:p>
    <w:p w14:paraId="1BDE1F6F" w14:textId="241F74EA" w:rsidR="007110C5" w:rsidRDefault="00D32D0E" w:rsidP="00027191">
      <w:r>
        <w:t>CD</w:t>
      </w:r>
      <w:r w:rsidR="00F02D27">
        <w:t xml:space="preserve"> spectroscopy</w:t>
      </w:r>
      <w:r>
        <w:t xml:space="preserve"> </w:t>
      </w:r>
      <w:r w:rsidR="00F02D27">
        <w:t xml:space="preserve">measures </w:t>
      </w:r>
      <w:r>
        <w:t>the difference in the</w:t>
      </w:r>
      <w:r w:rsidR="00D962C3">
        <w:t xml:space="preserve"> sample</w:t>
      </w:r>
      <w:r>
        <w:t xml:space="preserve"> absorption of </w:t>
      </w:r>
      <w:r w:rsidR="00D962C3">
        <w:t xml:space="preserve">the </w:t>
      </w:r>
      <w:r>
        <w:t xml:space="preserve">left and right circularly polarized light. </w:t>
      </w:r>
      <w:r w:rsidR="00027191">
        <w:t xml:space="preserve"> </w:t>
      </w:r>
      <w:r>
        <w:t xml:space="preserve">For </w:t>
      </w:r>
      <w:r w:rsidR="00D962C3">
        <w:t xml:space="preserve">the </w:t>
      </w:r>
      <w:r>
        <w:t>randomly oriented samples, such as</w:t>
      </w:r>
      <w:r w:rsidR="00DE7BB9">
        <w:t xml:space="preserve"> isotropic</w:t>
      </w:r>
      <w:r>
        <w:t xml:space="preserve"> solutions, this difference will be observed for </w:t>
      </w:r>
      <w:r w:rsidR="00067557">
        <w:t xml:space="preserve">the </w:t>
      </w:r>
      <w:r>
        <w:t xml:space="preserve">chiral </w:t>
      </w:r>
      <w:r w:rsidR="00792370">
        <w:t xml:space="preserve">solute </w:t>
      </w:r>
      <w:r>
        <w:t xml:space="preserve">molecules. </w:t>
      </w:r>
      <w:r w:rsidR="00027191">
        <w:t xml:space="preserve"> </w:t>
      </w:r>
      <w:r>
        <w:t xml:space="preserve">For example, </w:t>
      </w:r>
      <w:r w:rsidR="00640880">
        <w:t xml:space="preserve">the </w:t>
      </w:r>
      <w:r>
        <w:t>D- and L</w:t>
      </w:r>
      <w:r w:rsidR="00792370">
        <w:noBreakHyphen/>
      </w:r>
      <w:proofErr w:type="spellStart"/>
      <w:r>
        <w:t>tryptophan</w:t>
      </w:r>
      <w:r w:rsidR="008F7A57">
        <w:t>s</w:t>
      </w:r>
      <w:proofErr w:type="spellEnd"/>
      <w:r>
        <w:t xml:space="preserve"> have</w:t>
      </w:r>
      <w:r w:rsidR="008F7A57">
        <w:t xml:space="preserve"> mirror image</w:t>
      </w:r>
      <w:r>
        <w:t xml:space="preserve"> CD spectra. Since th</w:t>
      </w:r>
      <w:r w:rsidR="000A1220">
        <w:t>e</w:t>
      </w:r>
      <w:r>
        <w:t xml:space="preserve"> absorption difference is very small (Δ</w:t>
      </w:r>
      <w:r w:rsidRPr="00A41E3B">
        <w:rPr>
          <w:i/>
          <w:iCs/>
        </w:rPr>
        <w:t>A</w:t>
      </w:r>
      <w:r w:rsidR="00A41E3B">
        <w:t> </w:t>
      </w:r>
      <w:r>
        <w:t>=</w:t>
      </w:r>
      <w:r w:rsidR="00A41E3B">
        <w:t> </w:t>
      </w:r>
      <w:r>
        <w:t>10</w:t>
      </w:r>
      <w:r w:rsidR="00E06DB3">
        <w:rPr>
          <w:vertAlign w:val="superscript"/>
        </w:rPr>
        <w:noBreakHyphen/>
      </w:r>
      <w:r w:rsidRPr="00D34C85">
        <w:rPr>
          <w:vertAlign w:val="superscript"/>
        </w:rPr>
        <w:t>3</w:t>
      </w:r>
      <w:r>
        <w:t xml:space="preserve"> – 10</w:t>
      </w:r>
      <w:r w:rsidR="00E06DB3" w:rsidRPr="00E06DB3">
        <w:rPr>
          <w:vertAlign w:val="superscript"/>
        </w:rPr>
        <w:noBreakHyphen/>
      </w:r>
      <w:r w:rsidRPr="00E06DB3">
        <w:rPr>
          <w:vertAlign w:val="superscript"/>
        </w:rPr>
        <w:t>5</w:t>
      </w:r>
      <w:r>
        <w:t>),</w:t>
      </w:r>
      <w:r w:rsidR="006860EB">
        <w:t xml:space="preserve"> </w:t>
      </w:r>
      <w:r>
        <w:t>th</w:t>
      </w:r>
      <w:r w:rsidR="00BF63C7">
        <w:t>e</w:t>
      </w:r>
      <w:r>
        <w:t>s</w:t>
      </w:r>
      <w:r w:rsidR="00BF63C7">
        <w:t>e</w:t>
      </w:r>
      <w:r>
        <w:t xml:space="preserve"> measurement</w:t>
      </w:r>
      <w:r w:rsidR="000A1220">
        <w:t>s</w:t>
      </w:r>
      <w:r>
        <w:t xml:space="preserve"> require a specialized instrument known as </w:t>
      </w:r>
      <w:r w:rsidR="00E06DB3">
        <w:t>the</w:t>
      </w:r>
      <w:r>
        <w:t xml:space="preserve"> CD spectrometer or spectropolarimeter. </w:t>
      </w:r>
      <w:r w:rsidR="00027191">
        <w:t xml:space="preserve"> </w:t>
      </w:r>
      <w:r w:rsidR="00BF63C7">
        <w:t>The p</w:t>
      </w:r>
      <w:r>
        <w:t>rotein CD spectr</w:t>
      </w:r>
      <w:r w:rsidR="00AB6B63">
        <w:t>um</w:t>
      </w:r>
      <w:r>
        <w:t xml:space="preserve"> </w:t>
      </w:r>
      <w:r w:rsidR="00DD11AC">
        <w:t>is</w:t>
      </w:r>
      <w:r>
        <w:t xml:space="preserve"> usually divided into the “near” and “far” UV regions. The aromatic amino acids - phenylalanine, tyrosine, tryptophan - make distinctive contributions to the near UV, also described as </w:t>
      </w:r>
      <w:r w:rsidR="00466A0F">
        <w:t xml:space="preserve">the </w:t>
      </w:r>
      <w:r>
        <w:t>aromatic region (250-300</w:t>
      </w:r>
      <w:r w:rsidR="00E202A2">
        <w:t> </w:t>
      </w:r>
      <w:r>
        <w:t xml:space="preserve">nm). </w:t>
      </w:r>
      <w:r w:rsidR="00027191">
        <w:t xml:space="preserve"> </w:t>
      </w:r>
      <w:r>
        <w:t>The far UV (</w:t>
      </w:r>
      <w:r w:rsidR="00E202A2">
        <w:t xml:space="preserve">wavelengths shorter than </w:t>
      </w:r>
      <w:r>
        <w:t>250</w:t>
      </w:r>
      <w:r w:rsidR="00E202A2">
        <w:t> </w:t>
      </w:r>
      <w:r>
        <w:t xml:space="preserve">nm) is dominated by </w:t>
      </w:r>
      <w:r w:rsidR="001C514D">
        <w:t xml:space="preserve">the </w:t>
      </w:r>
      <w:r>
        <w:t xml:space="preserve">transitions of the </w:t>
      </w:r>
      <w:r w:rsidR="00653AEE">
        <w:t xml:space="preserve">protein </w:t>
      </w:r>
      <w:r>
        <w:t xml:space="preserve">backbone </w:t>
      </w:r>
      <w:r w:rsidR="00A41428">
        <w:t>polypeptide</w:t>
      </w:r>
      <w:r w:rsidR="00653AEE">
        <w:t xml:space="preserve"> </w:t>
      </w:r>
      <w:r w:rsidR="00BE55AC">
        <w:t>chain</w:t>
      </w:r>
      <w:r>
        <w:t xml:space="preserve">, which has permitted identification of </w:t>
      </w:r>
      <w:r w:rsidR="001C514D">
        <w:t xml:space="preserve">the </w:t>
      </w:r>
      <w:r>
        <w:t>spectral characteristic</w:t>
      </w:r>
      <w:r w:rsidR="001C514D">
        <w:t>s</w:t>
      </w:r>
      <w:r>
        <w:t xml:space="preserve"> of different secondary structures.</w:t>
      </w:r>
    </w:p>
    <w:p w14:paraId="7E62D862" w14:textId="49AFE005" w:rsidR="001C514D" w:rsidRDefault="00180AF5" w:rsidP="00027191">
      <w:r>
        <w:t>T</w:t>
      </w:r>
      <w:r w:rsidR="00A42E7F">
        <w:t xml:space="preserve">he Q100 spectrometer is equipped with </w:t>
      </w:r>
      <w:r w:rsidR="00A91766">
        <w:t>an</w:t>
      </w:r>
      <w:r w:rsidR="00A42E7F">
        <w:t xml:space="preserve"> autosampler.</w:t>
      </w:r>
      <w:r w:rsidR="00031AEF">
        <w:t xml:space="preserve"> </w:t>
      </w:r>
      <w:r w:rsidR="00027191">
        <w:t xml:space="preserve"> </w:t>
      </w:r>
      <w:r w:rsidR="00C56D2B">
        <w:t>The</w:t>
      </w:r>
      <w:r w:rsidR="00031AEF">
        <w:t xml:space="preserve"> </w:t>
      </w:r>
      <w:r w:rsidR="000431CE">
        <w:t>very short</w:t>
      </w:r>
      <w:r w:rsidR="00150FD2">
        <w:t xml:space="preserve"> </w:t>
      </w:r>
      <w:r w:rsidR="00031AEF">
        <w:t xml:space="preserve">pathlength </w:t>
      </w:r>
      <w:r w:rsidR="0022095F">
        <w:t>(0.1</w:t>
      </w:r>
      <w:r w:rsidR="000A19E3">
        <w:t> </w:t>
      </w:r>
      <w:r w:rsidR="0022095F">
        <w:t xml:space="preserve">mm) autosampler </w:t>
      </w:r>
      <w:r w:rsidR="00D33F8E">
        <w:t xml:space="preserve">flow </w:t>
      </w:r>
      <w:r w:rsidR="00031AEF">
        <w:t>cell can</w:t>
      </w:r>
      <w:r w:rsidR="00D33F8E">
        <w:t xml:space="preserve"> </w:t>
      </w:r>
      <w:r w:rsidR="00334D68">
        <w:t xml:space="preserve">be </w:t>
      </w:r>
      <w:r w:rsidR="00D33F8E">
        <w:t>used</w:t>
      </w:r>
      <w:r w:rsidR="0022095F">
        <w:t xml:space="preserve"> to</w:t>
      </w:r>
      <w:r w:rsidR="00D33F8E">
        <w:t xml:space="preserve"> minimiz</w:t>
      </w:r>
      <w:r w:rsidR="0022095F">
        <w:t>e</w:t>
      </w:r>
      <w:r w:rsidR="00D33F8E">
        <w:t xml:space="preserve"> buffer contribution</w:t>
      </w:r>
      <w:r w:rsidR="008128C7">
        <w:t>s</w:t>
      </w:r>
      <w:r w:rsidR="00D33F8E">
        <w:t xml:space="preserve"> to the sample absorbance.</w:t>
      </w:r>
      <w:r w:rsidR="00031AEF">
        <w:t xml:space="preserve"> </w:t>
      </w:r>
      <w:r w:rsidR="00027191">
        <w:t xml:space="preserve"> </w:t>
      </w:r>
      <w:r w:rsidR="00F7063F">
        <w:t>U</w:t>
      </w:r>
      <w:r w:rsidR="009F6FCE">
        <w:t>nlike manual CD cells, t</w:t>
      </w:r>
      <w:r w:rsidR="00150FD2">
        <w:t xml:space="preserve">he autosampler’s flow cell does not have to be </w:t>
      </w:r>
      <w:r w:rsidR="00F7063F">
        <w:t>repositioned between measurements</w:t>
      </w:r>
      <w:r w:rsidR="00613AE0">
        <w:t xml:space="preserve">. This </w:t>
      </w:r>
      <w:r w:rsidR="0064563E">
        <w:t xml:space="preserve">helps with the detection of </w:t>
      </w:r>
      <w:r w:rsidR="008128C7">
        <w:t>the</w:t>
      </w:r>
      <w:r w:rsidR="006D13D1">
        <w:t xml:space="preserve"> very small CD signal changes induced by ligand binding, </w:t>
      </w:r>
      <w:r w:rsidR="004C447E">
        <w:t>site-directed mutations o</w:t>
      </w:r>
      <w:r w:rsidR="00D06375">
        <w:t>r</w:t>
      </w:r>
      <w:r w:rsidR="004C447E">
        <w:t xml:space="preserve"> </w:t>
      </w:r>
      <w:r w:rsidR="008128C7">
        <w:t xml:space="preserve">by </w:t>
      </w:r>
      <w:r w:rsidR="00D06375">
        <w:t xml:space="preserve">the </w:t>
      </w:r>
      <w:r w:rsidR="004C447E">
        <w:t>buffer conditions.</w:t>
      </w:r>
      <w:r w:rsidR="00E07BE8">
        <w:t xml:space="preserve"> </w:t>
      </w:r>
      <w:r w:rsidR="00027191">
        <w:t xml:space="preserve"> </w:t>
      </w:r>
      <w:r w:rsidR="00E07BE8">
        <w:t xml:space="preserve">The autosampler can also be used </w:t>
      </w:r>
      <w:r w:rsidR="008A7AD8">
        <w:t>to perform</w:t>
      </w:r>
      <w:r w:rsidR="00E07BE8">
        <w:t xml:space="preserve"> very precise</w:t>
      </w:r>
      <w:r w:rsidR="00241ED2">
        <w:t xml:space="preserve"> </w:t>
      </w:r>
      <w:r w:rsidR="00580779">
        <w:t>chemical unfolding studies.</w:t>
      </w:r>
      <w:r w:rsidR="00241ED2">
        <w:t xml:space="preserve"> </w:t>
      </w:r>
      <w:r w:rsidR="00027191">
        <w:t xml:space="preserve"> </w:t>
      </w:r>
      <w:r w:rsidR="00241ED2">
        <w:t xml:space="preserve">A </w:t>
      </w:r>
      <w:r w:rsidR="00D6353E">
        <w:t>denaturant concen</w:t>
      </w:r>
      <w:r w:rsidR="00D325C6">
        <w:t xml:space="preserve">tration series can be conveniently prepared using our pipetting robot </w:t>
      </w:r>
      <w:r w:rsidR="008A7AD8">
        <w:t xml:space="preserve">and loaded directly into the autosampler well-plate. </w:t>
      </w:r>
      <w:r w:rsidR="00027191">
        <w:t xml:space="preserve"> </w:t>
      </w:r>
      <w:r w:rsidR="00F3377C">
        <w:t xml:space="preserve">This way </w:t>
      </w:r>
      <w:r w:rsidR="00E20EF0">
        <w:t>the number of</w:t>
      </w:r>
      <w:r w:rsidR="009C481C">
        <w:t xml:space="preserve"> the </w:t>
      </w:r>
      <w:r w:rsidR="00361867">
        <w:t xml:space="preserve">unfolding </w:t>
      </w:r>
      <w:r w:rsidR="00BC620F">
        <w:t>isotherm</w:t>
      </w:r>
      <w:r w:rsidR="00E20EF0">
        <w:t xml:space="preserve"> data points </w:t>
      </w:r>
      <w:r w:rsidR="00BC620F">
        <w:t xml:space="preserve">can be increased </w:t>
      </w:r>
      <w:r w:rsidR="00A45C0D">
        <w:t>while minimizing sample consumption and</w:t>
      </w:r>
      <w:r w:rsidR="00EA377D">
        <w:t xml:space="preserve"> saving </w:t>
      </w:r>
      <w:r w:rsidR="0094669B">
        <w:t xml:space="preserve">multiple </w:t>
      </w:r>
      <w:r w:rsidR="00EA377D">
        <w:t>hours of the</w:t>
      </w:r>
      <w:r w:rsidR="00DC3B57">
        <w:t xml:space="preserve"> operator’s time.</w:t>
      </w:r>
    </w:p>
    <w:p w14:paraId="23D1EE41" w14:textId="73FD25C1" w:rsidR="006F3170" w:rsidRDefault="006F3170" w:rsidP="00A42E7F">
      <w:pPr>
        <w:ind w:left="1440" w:hanging="720"/>
      </w:pPr>
    </w:p>
    <w:p w14:paraId="6D8BDF35" w14:textId="77777777" w:rsidR="00DC13B0" w:rsidRPr="00B2449F" w:rsidRDefault="00DC13B0" w:rsidP="00DC13B0">
      <w:pPr>
        <w:spacing w:after="0"/>
        <w:rPr>
          <w:b/>
          <w:bCs/>
        </w:rPr>
      </w:pPr>
      <w:r w:rsidRPr="00B2449F">
        <w:rPr>
          <w:b/>
          <w:bCs/>
        </w:rPr>
        <w:t>Typical applications:</w:t>
      </w:r>
    </w:p>
    <w:p w14:paraId="305D4042" w14:textId="03C1E24C" w:rsidR="00D32D0E" w:rsidRDefault="00D32D0E" w:rsidP="00A9513B">
      <w:pPr>
        <w:pStyle w:val="ListParagraph"/>
        <w:numPr>
          <w:ilvl w:val="0"/>
          <w:numId w:val="1"/>
        </w:numPr>
        <w:spacing w:after="0"/>
      </w:pPr>
      <w:r>
        <w:t xml:space="preserve">Characterization of </w:t>
      </w:r>
      <w:r w:rsidR="00B57692">
        <w:t xml:space="preserve">the </w:t>
      </w:r>
      <w:r>
        <w:t>secondary structure of proteins, peptides and nucleic acids</w:t>
      </w:r>
    </w:p>
    <w:p w14:paraId="0876BB9A" w14:textId="3211D4F6" w:rsidR="00F531CA" w:rsidRDefault="00F531CA" w:rsidP="00A9513B">
      <w:pPr>
        <w:pStyle w:val="ListParagraph"/>
        <w:numPr>
          <w:ilvl w:val="0"/>
          <w:numId w:val="1"/>
        </w:numPr>
        <w:spacing w:after="0"/>
      </w:pPr>
      <w:r>
        <w:t>Detection of the interaction-induced conformational changes in proteins and nucleic acids</w:t>
      </w:r>
    </w:p>
    <w:p w14:paraId="7123BB47" w14:textId="02D491CD" w:rsidR="00F531CA" w:rsidRDefault="00F531CA" w:rsidP="00A9513B">
      <w:pPr>
        <w:pStyle w:val="ListParagraph"/>
        <w:numPr>
          <w:ilvl w:val="0"/>
          <w:numId w:val="1"/>
        </w:numPr>
        <w:spacing w:after="0"/>
      </w:pPr>
      <w:r>
        <w:t>Determination of the effect of mutations on the protein structure</w:t>
      </w:r>
    </w:p>
    <w:p w14:paraId="0476E64B" w14:textId="2C2FD1A2" w:rsidR="00D32D0E" w:rsidRDefault="00D32D0E" w:rsidP="00A9513B">
      <w:pPr>
        <w:pStyle w:val="ListParagraph"/>
        <w:numPr>
          <w:ilvl w:val="0"/>
          <w:numId w:val="1"/>
        </w:numPr>
        <w:spacing w:after="0"/>
      </w:pPr>
      <w:r>
        <w:t xml:space="preserve">Study of </w:t>
      </w:r>
      <w:r w:rsidR="00B57692">
        <w:t xml:space="preserve">the </w:t>
      </w:r>
      <w:r>
        <w:t>conformational stability of macromolecules at varying temperature, pH or denaturant concentration</w:t>
      </w:r>
      <w:r w:rsidR="00B57692">
        <w:t>s</w:t>
      </w:r>
      <w:r w:rsidR="00D626F1">
        <w:t>:</w:t>
      </w:r>
    </w:p>
    <w:p w14:paraId="60411A5C" w14:textId="77777777" w:rsidR="0085562B" w:rsidRDefault="00013D83" w:rsidP="00D405E5">
      <w:pPr>
        <w:pStyle w:val="ListParagraph"/>
        <w:numPr>
          <w:ilvl w:val="1"/>
          <w:numId w:val="1"/>
        </w:numPr>
        <w:spacing w:after="0"/>
      </w:pPr>
      <w:r>
        <w:t>M</w:t>
      </w:r>
      <w:r w:rsidR="00743555">
        <w:t xml:space="preserve">ultiwavelength </w:t>
      </w:r>
      <w:r w:rsidR="00F050DF">
        <w:t xml:space="preserve">thermal unfolding measurements can be performed to </w:t>
      </w:r>
      <w:r w:rsidR="00351A59">
        <w:t xml:space="preserve">simultaneously </w:t>
      </w:r>
      <w:r w:rsidR="00204C72">
        <w:t>obtain</w:t>
      </w:r>
      <w:r w:rsidR="00487D6E">
        <w:t xml:space="preserve"> </w:t>
      </w:r>
      <w:r w:rsidR="00204C72">
        <w:t xml:space="preserve">the unfolding temperatures </w:t>
      </w:r>
      <w:r w:rsidR="006D2817">
        <w:t>as well as</w:t>
      </w:r>
      <w:r w:rsidR="00204C72">
        <w:t xml:space="preserve"> </w:t>
      </w:r>
      <w:r w:rsidR="00F777EA">
        <w:t xml:space="preserve">the structural information </w:t>
      </w:r>
      <w:r w:rsidR="00BC71C4">
        <w:t>on</w:t>
      </w:r>
      <w:r w:rsidR="00454628">
        <w:t xml:space="preserve"> the</w:t>
      </w:r>
      <w:r w:rsidR="006D2817">
        <w:t xml:space="preserve"> intermediate and unfolded states from </w:t>
      </w:r>
      <w:r>
        <w:t>the 3D unfolding data</w:t>
      </w:r>
      <w:r w:rsidR="006D2817">
        <w:t>.</w:t>
      </w:r>
    </w:p>
    <w:p w14:paraId="7386CA36" w14:textId="62EC3B45" w:rsidR="00F04AEA" w:rsidRDefault="00267C7E" w:rsidP="00D405E5">
      <w:pPr>
        <w:pStyle w:val="ListParagraph"/>
        <w:numPr>
          <w:ilvl w:val="1"/>
          <w:numId w:val="1"/>
        </w:numPr>
        <w:spacing w:after="0"/>
      </w:pPr>
      <w:r>
        <w:lastRenderedPageBreak/>
        <w:t>Precise multi-point c</w:t>
      </w:r>
      <w:r w:rsidR="00AE2B90">
        <w:t xml:space="preserve">hemical unfolding </w:t>
      </w:r>
      <w:r>
        <w:t xml:space="preserve">studies can be </w:t>
      </w:r>
      <w:r w:rsidR="00BB7A63">
        <w:t xml:space="preserve">performed automatically </w:t>
      </w:r>
      <w:r w:rsidR="00E273D2">
        <w:t xml:space="preserve">using the pipetting robot and </w:t>
      </w:r>
      <w:r w:rsidR="00CA7818">
        <w:t xml:space="preserve">Q100 </w:t>
      </w:r>
      <w:r w:rsidR="000431CE">
        <w:t>autosampler.</w:t>
      </w:r>
    </w:p>
    <w:p w14:paraId="5AD17408" w14:textId="56741903" w:rsidR="00D32D0E" w:rsidRDefault="00D32D0E" w:rsidP="009D1E78">
      <w:pPr>
        <w:spacing w:after="0"/>
      </w:pPr>
    </w:p>
    <w:p w14:paraId="3EF07376" w14:textId="77777777" w:rsidR="00D32D0E" w:rsidRDefault="00D32D0E" w:rsidP="009D1E78">
      <w:pPr>
        <w:spacing w:after="0"/>
      </w:pPr>
    </w:p>
    <w:p w14:paraId="4F2C7192" w14:textId="77777777" w:rsidR="007F6ED6" w:rsidRPr="00B2449F" w:rsidRDefault="009D1E78" w:rsidP="009D1E78">
      <w:pPr>
        <w:spacing w:after="0"/>
        <w:rPr>
          <w:b/>
          <w:bCs/>
        </w:rPr>
      </w:pPr>
      <w:r w:rsidRPr="00B2449F">
        <w:rPr>
          <w:b/>
          <w:bCs/>
        </w:rPr>
        <w:t>Basic instrument specifications:</w:t>
      </w:r>
      <w:r w:rsidR="00395032" w:rsidRPr="00B2449F">
        <w:rPr>
          <w:b/>
          <w:bCs/>
        </w:rPr>
        <w:t xml:space="preserve"> </w:t>
      </w:r>
    </w:p>
    <w:p w14:paraId="3BFF32D9" w14:textId="0395791C" w:rsidR="007F6ED6" w:rsidRDefault="007F6ED6" w:rsidP="001E3E37">
      <w:pPr>
        <w:pStyle w:val="ListParagraph"/>
        <w:numPr>
          <w:ilvl w:val="0"/>
          <w:numId w:val="2"/>
        </w:numPr>
        <w:spacing w:after="0"/>
      </w:pPr>
      <w:r>
        <w:t>s</w:t>
      </w:r>
      <w:r w:rsidR="00395032">
        <w:t>pectral range</w:t>
      </w:r>
      <w:r w:rsidR="00997306">
        <w:t>:</w:t>
      </w:r>
      <w:r w:rsidR="00395032">
        <w:t xml:space="preserve"> </w:t>
      </w:r>
      <w:r w:rsidR="00997306">
        <w:t xml:space="preserve">from </w:t>
      </w:r>
      <w:r w:rsidR="00395032">
        <w:t>163</w:t>
      </w:r>
      <w:r w:rsidR="00997306">
        <w:t> nm to</w:t>
      </w:r>
      <w:r w:rsidR="00395032">
        <w:t xml:space="preserve"> 1150</w:t>
      </w:r>
      <w:r w:rsidR="00997306">
        <w:t> </w:t>
      </w:r>
      <w:r w:rsidR="00395032">
        <w:t>nm</w:t>
      </w:r>
    </w:p>
    <w:p w14:paraId="1853C885" w14:textId="3686572D" w:rsidR="001E3E37" w:rsidRDefault="001E3E37" w:rsidP="001E3E37">
      <w:pPr>
        <w:pStyle w:val="ListParagraph"/>
        <w:numPr>
          <w:ilvl w:val="0"/>
          <w:numId w:val="2"/>
        </w:numPr>
        <w:spacing w:after="0"/>
      </w:pPr>
      <w:r>
        <w:t>Autosampler</w:t>
      </w:r>
      <w:r w:rsidR="00660850">
        <w:t xml:space="preserve"> format:</w:t>
      </w:r>
      <w:r>
        <w:t xml:space="preserve"> 96-well plates</w:t>
      </w:r>
      <w:r w:rsidR="00660850">
        <w:t>, deep-well-plates standard</w:t>
      </w:r>
    </w:p>
    <w:p w14:paraId="6AF71222" w14:textId="5DFBBD1F" w:rsidR="007F6ED6" w:rsidRDefault="00C873E5" w:rsidP="001E3E37">
      <w:pPr>
        <w:pStyle w:val="ListParagraph"/>
        <w:numPr>
          <w:ilvl w:val="0"/>
          <w:numId w:val="2"/>
        </w:numPr>
        <w:spacing w:after="0"/>
      </w:pPr>
      <w:r>
        <w:t>Sample t</w:t>
      </w:r>
      <w:r w:rsidR="002B5406">
        <w:t xml:space="preserve">emperature </w:t>
      </w:r>
      <w:r w:rsidR="0036461A">
        <w:t xml:space="preserve">control: </w:t>
      </w:r>
      <w:r w:rsidR="002B5406">
        <w:t>Peltier</w:t>
      </w:r>
      <w:r w:rsidR="0036461A">
        <w:t xml:space="preserve"> </w:t>
      </w:r>
      <w:r w:rsidR="00395032">
        <w:t>controlle</w:t>
      </w:r>
      <w:r w:rsidR="002B5406">
        <w:t>r</w:t>
      </w:r>
      <w:r w:rsidR="0036461A">
        <w:t xml:space="preserve">s for </w:t>
      </w:r>
      <w:r>
        <w:t xml:space="preserve">the </w:t>
      </w:r>
      <w:r w:rsidR="0036461A">
        <w:t>autosampler</w:t>
      </w:r>
      <w:r w:rsidR="00395032">
        <w:t xml:space="preserve"> flow cells</w:t>
      </w:r>
      <w:r w:rsidR="0036461A">
        <w:t xml:space="preserve"> and </w:t>
      </w:r>
      <w:r w:rsidR="00660850">
        <w:t xml:space="preserve">for </w:t>
      </w:r>
      <w:r>
        <w:t xml:space="preserve">the </w:t>
      </w:r>
      <w:r w:rsidR="0036461A">
        <w:t>manual cell holder</w:t>
      </w:r>
      <w:r w:rsidR="001E39A4">
        <w:t xml:space="preserve">; </w:t>
      </w:r>
      <w:r w:rsidR="004260AB">
        <w:t>Peltier-cooled autosampler well-plate holder</w:t>
      </w:r>
    </w:p>
    <w:p w14:paraId="29B4A92B" w14:textId="77777777" w:rsidR="00145B2D" w:rsidRDefault="009E288F" w:rsidP="001E3E37">
      <w:pPr>
        <w:pStyle w:val="ListParagraph"/>
        <w:numPr>
          <w:ilvl w:val="0"/>
          <w:numId w:val="2"/>
        </w:numPr>
        <w:spacing w:after="0"/>
      </w:pPr>
      <w:r>
        <w:t>Available</w:t>
      </w:r>
      <w:r w:rsidR="00145B2D">
        <w:t xml:space="preserve"> autosampler flow-</w:t>
      </w:r>
      <w:r>
        <w:t>cells</w:t>
      </w:r>
      <w:r w:rsidR="00145B2D">
        <w:t>:</w:t>
      </w:r>
    </w:p>
    <w:p w14:paraId="45C88D19" w14:textId="6BEB4853" w:rsidR="00145B2D" w:rsidRDefault="00395E8A" w:rsidP="001E3E37">
      <w:pPr>
        <w:pStyle w:val="ListParagraph"/>
        <w:numPr>
          <w:ilvl w:val="1"/>
          <w:numId w:val="2"/>
        </w:numPr>
        <w:spacing w:after="0"/>
      </w:pPr>
      <w:r>
        <w:t>0.1 </w:t>
      </w:r>
      <w:r w:rsidR="00395032">
        <w:t>mm pathlength</w:t>
      </w:r>
      <w:r w:rsidR="00E15744">
        <w:t>;</w:t>
      </w:r>
      <w:r w:rsidR="00395032">
        <w:t xml:space="preserve"> min</w:t>
      </w:r>
      <w:r w:rsidR="00E15744">
        <w:t xml:space="preserve">imum sample volume </w:t>
      </w:r>
      <w:r w:rsidR="00395032">
        <w:t>100</w:t>
      </w:r>
      <w:r w:rsidR="00E15744">
        <w:t> </w:t>
      </w:r>
      <w:proofErr w:type="spellStart"/>
      <w:r w:rsidR="00395032">
        <w:t>μL</w:t>
      </w:r>
      <w:proofErr w:type="spellEnd"/>
      <w:r w:rsidR="00395032">
        <w:t>, 200</w:t>
      </w:r>
      <w:r w:rsidR="00E15744">
        <w:t> </w:t>
      </w:r>
      <w:proofErr w:type="spellStart"/>
      <w:r w:rsidR="00395032">
        <w:t>μL</w:t>
      </w:r>
      <w:proofErr w:type="spellEnd"/>
      <w:r w:rsidR="00E15744">
        <w:t xml:space="preserve"> </w:t>
      </w:r>
      <w:r w:rsidR="000431CE">
        <w:t>recommended.</w:t>
      </w:r>
    </w:p>
    <w:p w14:paraId="720C3E4F" w14:textId="780DE2A2" w:rsidR="00E15744" w:rsidRDefault="00395E8A" w:rsidP="00395E8A">
      <w:pPr>
        <w:pStyle w:val="ListParagraph"/>
        <w:numPr>
          <w:ilvl w:val="1"/>
          <w:numId w:val="2"/>
        </w:numPr>
        <w:spacing w:after="0"/>
      </w:pPr>
      <w:r>
        <w:t>1 </w:t>
      </w:r>
      <w:r w:rsidR="00395032">
        <w:t>mm pathlength</w:t>
      </w:r>
      <w:r w:rsidR="00E15744">
        <w:t>; minimum sample volume 200 μL</w:t>
      </w:r>
    </w:p>
    <w:p w14:paraId="21450136" w14:textId="1681ABD8" w:rsidR="00E15744" w:rsidRDefault="00395032" w:rsidP="00813D36">
      <w:pPr>
        <w:pStyle w:val="ListParagraph"/>
        <w:numPr>
          <w:ilvl w:val="1"/>
          <w:numId w:val="2"/>
        </w:numPr>
        <w:spacing w:after="0"/>
      </w:pPr>
      <w:r>
        <w:t>10</w:t>
      </w:r>
      <w:r w:rsidR="00E15744">
        <w:t> </w:t>
      </w:r>
      <w:r>
        <w:t>mm pathlength</w:t>
      </w:r>
      <w:r w:rsidR="002E7AC1">
        <w:t xml:space="preserve">; </w:t>
      </w:r>
      <w:r w:rsidR="00C01A79">
        <w:t>minimum sample volume 900 μL</w:t>
      </w:r>
    </w:p>
    <w:p w14:paraId="5D05EF3B" w14:textId="182449C4" w:rsidR="009D1E78" w:rsidRDefault="005D0B60" w:rsidP="00813D36">
      <w:pPr>
        <w:pStyle w:val="ListParagraph"/>
        <w:spacing w:after="0"/>
      </w:pPr>
      <w:r>
        <w:t>The</w:t>
      </w:r>
      <w:r w:rsidR="00395032">
        <w:t xml:space="preserve"> 0.1</w:t>
      </w:r>
      <w:r w:rsidR="002E7AC1">
        <w:t> </w:t>
      </w:r>
      <w:r w:rsidR="00395032">
        <w:t>mm cell is recommended for far</w:t>
      </w:r>
      <w:r w:rsidR="001F13FC">
        <w:t>-</w:t>
      </w:r>
      <w:r w:rsidR="00395032">
        <w:t xml:space="preserve">UV and </w:t>
      </w:r>
      <w:r>
        <w:t xml:space="preserve">the </w:t>
      </w:r>
      <w:r w:rsidR="00395032">
        <w:t xml:space="preserve">10 mm for the </w:t>
      </w:r>
      <w:r w:rsidR="001F13FC">
        <w:t>n</w:t>
      </w:r>
      <w:r w:rsidR="00395032">
        <w:t xml:space="preserve">ear-UV </w:t>
      </w:r>
      <w:r w:rsidR="000431CE">
        <w:t>range.</w:t>
      </w:r>
    </w:p>
    <w:p w14:paraId="3BCCF128" w14:textId="23F9B4D0" w:rsidR="00D32D0E" w:rsidRDefault="006B180F" w:rsidP="001E3E37">
      <w:pPr>
        <w:pStyle w:val="ListParagraph"/>
        <w:numPr>
          <w:ilvl w:val="0"/>
          <w:numId w:val="2"/>
        </w:numPr>
        <w:spacing w:after="0"/>
      </w:pPr>
      <w:r>
        <w:t xml:space="preserve">Available manual loading </w:t>
      </w:r>
      <w:r w:rsidR="00B32A59">
        <w:t>c</w:t>
      </w:r>
      <w:r>
        <w:t>ells</w:t>
      </w:r>
      <w:r w:rsidR="00B32A59">
        <w:t>: 0.5 mm, 1 mm and 10 mm</w:t>
      </w:r>
    </w:p>
    <w:p w14:paraId="3D9A4EE1" w14:textId="3F5DDBA6" w:rsidR="00B32A59" w:rsidRDefault="004F495B" w:rsidP="00813D36">
      <w:pPr>
        <w:pStyle w:val="ListParagraph"/>
        <w:spacing w:after="0"/>
      </w:pPr>
      <w:r>
        <w:t xml:space="preserve">Manual cells are required for thermal unfolding </w:t>
      </w:r>
      <w:r w:rsidR="000431CE">
        <w:t>studies.</w:t>
      </w:r>
    </w:p>
    <w:p w14:paraId="6265775F" w14:textId="69A1686D" w:rsidR="006B180F" w:rsidRDefault="006B180F" w:rsidP="007074C4">
      <w:pPr>
        <w:spacing w:after="0"/>
      </w:pPr>
    </w:p>
    <w:p w14:paraId="70301388" w14:textId="77777777" w:rsidR="006B180F" w:rsidRDefault="006B180F" w:rsidP="007074C4">
      <w:pPr>
        <w:spacing w:after="0"/>
      </w:pPr>
    </w:p>
    <w:p w14:paraId="1ECC91E0" w14:textId="3C961C4C" w:rsidR="00B2449F" w:rsidRPr="00CA067C" w:rsidRDefault="007074C4" w:rsidP="0034733F">
      <w:pPr>
        <w:spacing w:after="0"/>
        <w:ind w:left="720" w:hanging="720"/>
        <w:rPr>
          <w:b/>
          <w:bCs/>
        </w:rPr>
      </w:pPr>
      <w:r w:rsidRPr="00CA067C">
        <w:rPr>
          <w:b/>
          <w:bCs/>
        </w:rPr>
        <w:t xml:space="preserve">Sample </w:t>
      </w:r>
      <w:r w:rsidR="00CA067C">
        <w:rPr>
          <w:b/>
          <w:bCs/>
        </w:rPr>
        <w:t>R</w:t>
      </w:r>
      <w:r w:rsidRPr="00CA067C">
        <w:rPr>
          <w:b/>
          <w:bCs/>
        </w:rPr>
        <w:t xml:space="preserve">equirements and </w:t>
      </w:r>
      <w:r w:rsidR="00CA067C">
        <w:rPr>
          <w:b/>
          <w:bCs/>
        </w:rPr>
        <w:t>R</w:t>
      </w:r>
      <w:r w:rsidRPr="00CA067C">
        <w:rPr>
          <w:b/>
          <w:bCs/>
        </w:rPr>
        <w:t xml:space="preserve">ecommended </w:t>
      </w:r>
      <w:r w:rsidR="00CA067C">
        <w:rPr>
          <w:b/>
          <w:bCs/>
        </w:rPr>
        <w:t>B</w:t>
      </w:r>
      <w:r w:rsidRPr="00CA067C">
        <w:rPr>
          <w:b/>
          <w:bCs/>
        </w:rPr>
        <w:t>uffers:</w:t>
      </w:r>
      <w:r w:rsidR="00395032" w:rsidRPr="00CA067C">
        <w:rPr>
          <w:b/>
          <w:bCs/>
        </w:rPr>
        <w:t xml:space="preserve"> </w:t>
      </w:r>
    </w:p>
    <w:p w14:paraId="6000AE77" w14:textId="77777777" w:rsidR="00CA067C" w:rsidRDefault="00CA067C" w:rsidP="0034733F">
      <w:pPr>
        <w:spacing w:after="0"/>
        <w:ind w:left="720" w:hanging="720"/>
      </w:pPr>
    </w:p>
    <w:p w14:paraId="6936B404" w14:textId="335534C5" w:rsidR="00DB7986" w:rsidRDefault="00395032" w:rsidP="00B2449F">
      <w:pPr>
        <w:spacing w:after="0"/>
      </w:pPr>
      <w:r>
        <w:t>For the far-UV measurements the choice of buffer is very important.</w:t>
      </w:r>
      <w:r w:rsidR="00113A70">
        <w:t xml:space="preserve"> </w:t>
      </w:r>
      <w:r w:rsidR="00B2449F">
        <w:t xml:space="preserve"> </w:t>
      </w:r>
      <w:r w:rsidR="00113A70">
        <w:t>The preferred buffers are either acetate or the 10 mM phosphate.</w:t>
      </w:r>
      <w:r w:rsidR="003A4712">
        <w:t xml:space="preserve"> </w:t>
      </w:r>
      <w:r w:rsidR="00B2449F">
        <w:t xml:space="preserve"> </w:t>
      </w:r>
      <w:r>
        <w:t xml:space="preserve">PBS is usually acceptable, but the relatively high NaCl and </w:t>
      </w:r>
      <w:proofErr w:type="spellStart"/>
      <w:r>
        <w:t>KCl</w:t>
      </w:r>
      <w:proofErr w:type="spellEnd"/>
      <w:r>
        <w:t xml:space="preserve"> concentrations in PBS might prevent measur</w:t>
      </w:r>
      <w:r w:rsidR="00897802">
        <w:t>ements</w:t>
      </w:r>
      <w:r>
        <w:t xml:space="preserve"> </w:t>
      </w:r>
      <w:r w:rsidR="00897802">
        <w:t xml:space="preserve">at </w:t>
      </w:r>
      <w:r>
        <w:t xml:space="preserve">wavelengths </w:t>
      </w:r>
      <w:r w:rsidR="00897802">
        <w:t>shorter than</w:t>
      </w:r>
      <w:r>
        <w:t xml:space="preserve"> 200</w:t>
      </w:r>
      <w:r w:rsidR="00897802">
        <w:t> </w:t>
      </w:r>
      <w:r>
        <w:t xml:space="preserve">nm. </w:t>
      </w:r>
      <w:r w:rsidR="00B2449F">
        <w:t xml:space="preserve"> </w:t>
      </w:r>
      <w:r>
        <w:t xml:space="preserve">Tris is also acceptable, but the pH should be adjusted with phosphoric acid </w:t>
      </w:r>
      <w:r w:rsidR="003A4712">
        <w:t>rather than</w:t>
      </w:r>
      <w:r>
        <w:t xml:space="preserve"> HCl</w:t>
      </w:r>
      <w:r w:rsidR="003A4712">
        <w:t>,</w:t>
      </w:r>
      <w:r>
        <w:t xml:space="preserve"> since chloride ions have </w:t>
      </w:r>
      <w:r w:rsidR="003A4712">
        <w:t xml:space="preserve">a </w:t>
      </w:r>
      <w:r>
        <w:t xml:space="preserve">strong far-UV absorbance. </w:t>
      </w:r>
      <w:r w:rsidR="00B2449F">
        <w:t xml:space="preserve"> </w:t>
      </w:r>
      <w:r>
        <w:t xml:space="preserve">For the same reason, </w:t>
      </w:r>
      <w:r w:rsidR="003A4712">
        <w:t xml:space="preserve">either </w:t>
      </w:r>
      <w:r>
        <w:t>Na</w:t>
      </w:r>
      <w:r w:rsidRPr="001F13FC">
        <w:rPr>
          <w:vertAlign w:val="subscript"/>
        </w:rPr>
        <w:t>2</w:t>
      </w:r>
      <w:r>
        <w:t>SO</w:t>
      </w:r>
      <w:r w:rsidRPr="001F13FC">
        <w:rPr>
          <w:vertAlign w:val="subscript"/>
        </w:rPr>
        <w:t>4</w:t>
      </w:r>
      <w:r>
        <w:t xml:space="preserve"> or </w:t>
      </w:r>
      <w:proofErr w:type="spellStart"/>
      <w:r>
        <w:t>NaF</w:t>
      </w:r>
      <w:proofErr w:type="spellEnd"/>
      <w:r>
        <w:t xml:space="preserve"> should be used </w:t>
      </w:r>
      <w:r w:rsidR="00032DB8">
        <w:t>instead of the</w:t>
      </w:r>
      <w:r>
        <w:t xml:space="preserve"> NaCl. </w:t>
      </w:r>
      <w:r w:rsidR="00F53BA4">
        <w:t>Use of i</w:t>
      </w:r>
      <w:r>
        <w:t>midazole, MOPS</w:t>
      </w:r>
      <w:r w:rsidR="00F53BA4">
        <w:t>,</w:t>
      </w:r>
      <w:r>
        <w:t xml:space="preserve"> and PIPES</w:t>
      </w:r>
      <w:r w:rsidR="00F53BA4">
        <w:t xml:space="preserve"> should be avoided</w:t>
      </w:r>
      <w:r>
        <w:t xml:space="preserve">. DTT and EDTA can be used only at </w:t>
      </w:r>
      <w:r w:rsidR="00F53BA4">
        <w:t xml:space="preserve">a </w:t>
      </w:r>
      <w:r>
        <w:t>low</w:t>
      </w:r>
      <w:r w:rsidR="000F68AC">
        <w:t>, sub-millimolar</w:t>
      </w:r>
      <w:r>
        <w:t xml:space="preserve"> concentration</w:t>
      </w:r>
      <w:r w:rsidR="00DF602B">
        <w:t>s</w:t>
      </w:r>
      <w:r>
        <w:t>.</w:t>
      </w:r>
    </w:p>
    <w:p w14:paraId="34E5C8EA" w14:textId="77777777" w:rsidR="003B5D64" w:rsidRDefault="003B5D64" w:rsidP="00B2449F">
      <w:pPr>
        <w:spacing w:after="0"/>
      </w:pPr>
    </w:p>
    <w:p w14:paraId="7AD2B13A" w14:textId="66D64953" w:rsidR="007074C4" w:rsidRDefault="00395032" w:rsidP="00B2449F">
      <w:pPr>
        <w:spacing w:after="0"/>
      </w:pPr>
      <w:r>
        <w:t xml:space="preserve">Always measure the absorbance spectrum of </w:t>
      </w:r>
      <w:r w:rsidR="00830DED">
        <w:t>a</w:t>
      </w:r>
      <w:r>
        <w:t xml:space="preserve"> sample and </w:t>
      </w:r>
      <w:r w:rsidR="00DF602B">
        <w:t xml:space="preserve">the </w:t>
      </w:r>
      <w:r>
        <w:t xml:space="preserve">absorbance spectrum of </w:t>
      </w:r>
      <w:r w:rsidR="00F337E9">
        <w:t>a</w:t>
      </w:r>
      <w:r w:rsidR="00DF602B">
        <w:t xml:space="preserve"> </w:t>
      </w:r>
      <w:r>
        <w:t xml:space="preserve">buffer </w:t>
      </w:r>
      <w:r w:rsidR="0058694B">
        <w:t xml:space="preserve">using </w:t>
      </w:r>
      <w:r w:rsidR="007F7DCE">
        <w:t xml:space="preserve">a </w:t>
      </w:r>
      <w:r w:rsidR="00B0450E">
        <w:t>scanning spectrophotometer and</w:t>
      </w:r>
      <w:r w:rsidR="007F7DCE">
        <w:t xml:space="preserve"> </w:t>
      </w:r>
      <w:r>
        <w:t>water</w:t>
      </w:r>
      <w:r w:rsidR="0058694B">
        <w:t xml:space="preserve"> as a reference.</w:t>
      </w:r>
      <w:r>
        <w:t xml:space="preserve"> </w:t>
      </w:r>
      <w:r w:rsidR="00B2449F">
        <w:t xml:space="preserve"> </w:t>
      </w:r>
      <w:r w:rsidR="000E6947">
        <w:t>Perform absorbance measurement</w:t>
      </w:r>
      <w:r w:rsidR="00F337E9">
        <w:t>s</w:t>
      </w:r>
      <w:r w:rsidR="000E6947">
        <w:t xml:space="preserve"> </w:t>
      </w:r>
      <w:r w:rsidR="0058694B">
        <w:t>in the wavelength range</w:t>
      </w:r>
      <w:r w:rsidR="000E6947" w:rsidRPr="000E6947">
        <w:t xml:space="preserve"> </w:t>
      </w:r>
      <w:r w:rsidR="000E6947">
        <w:t>desired</w:t>
      </w:r>
      <w:r w:rsidR="0058694B">
        <w:t xml:space="preserve"> </w:t>
      </w:r>
      <w:r w:rsidR="000E6947">
        <w:t>for</w:t>
      </w:r>
      <w:r w:rsidR="0058694B">
        <w:t xml:space="preserve"> the CD scan</w:t>
      </w:r>
      <w:r w:rsidR="000E6947">
        <w:t>s and compare with</w:t>
      </w:r>
      <w:r>
        <w:t xml:space="preserve"> the OD recommendations </w:t>
      </w:r>
      <w:r w:rsidR="000E6947">
        <w:t xml:space="preserve">(see </w:t>
      </w:r>
      <w:r w:rsidR="00DD0A63">
        <w:t>below</w:t>
      </w:r>
      <w:r w:rsidR="000E6947">
        <w:t>).</w:t>
      </w:r>
    </w:p>
    <w:p w14:paraId="53025F6D" w14:textId="45C7D43C" w:rsidR="00395032" w:rsidRDefault="00B90161" w:rsidP="00B2449F">
      <w:pPr>
        <w:spacing w:after="0"/>
      </w:pPr>
      <w:r>
        <w:t>The a</w:t>
      </w:r>
      <w:r w:rsidR="00605316">
        <w:t xml:space="preserve">utosampler is highly </w:t>
      </w:r>
      <w:r w:rsidR="00395032">
        <w:t>recommend</w:t>
      </w:r>
      <w:r w:rsidR="00605316">
        <w:t>ed</w:t>
      </w:r>
      <w:r w:rsidR="00395032">
        <w:t xml:space="preserve"> for spectrum </w:t>
      </w:r>
      <w:r w:rsidR="000431CE">
        <w:t>measurements but</w:t>
      </w:r>
      <w:r w:rsidR="00605316">
        <w:t xml:space="preserve"> </w:t>
      </w:r>
      <w:r w:rsidR="00395032">
        <w:t xml:space="preserve">should not be used for thermal </w:t>
      </w:r>
      <w:r w:rsidR="00605316">
        <w:t>scans</w:t>
      </w:r>
      <w:r w:rsidR="00395032">
        <w:t>.</w:t>
      </w:r>
      <w:r w:rsidR="00992C73">
        <w:t xml:space="preserve"> </w:t>
      </w:r>
      <w:r w:rsidR="00B2449F">
        <w:t xml:space="preserve"> </w:t>
      </w:r>
      <w:r w:rsidR="00992C73">
        <w:t>An instrument cleaning charge will be levied if the sample precipitates in the flow cell.</w:t>
      </w:r>
    </w:p>
    <w:p w14:paraId="1A072976" w14:textId="304A8CA7" w:rsidR="00395032" w:rsidRPr="00443CCC" w:rsidRDefault="00395032" w:rsidP="00B2449F">
      <w:pPr>
        <w:spacing w:after="0"/>
      </w:pPr>
      <w:r>
        <w:t>The recommended measurement sequence</w:t>
      </w:r>
      <w:r w:rsidR="00BB165C">
        <w:t xml:space="preserve"> </w:t>
      </w:r>
      <w:r w:rsidR="000431CE">
        <w:t>is</w:t>
      </w:r>
      <w:r>
        <w:t xml:space="preserve"> buffer-sample-buffer-sample-buffer</w:t>
      </w:r>
      <w:r w:rsidR="00BB165C">
        <w:t>,</w:t>
      </w:r>
      <w:r>
        <w:t xml:space="preserve"> etc. for</w:t>
      </w:r>
      <w:r w:rsidR="00BB165C">
        <w:t xml:space="preserve"> </w:t>
      </w:r>
      <w:r>
        <w:t xml:space="preserve">both </w:t>
      </w:r>
      <w:r w:rsidR="00025EFC">
        <w:t xml:space="preserve">the </w:t>
      </w:r>
      <w:r>
        <w:t xml:space="preserve">manual and automated measurements. </w:t>
      </w:r>
      <w:r w:rsidR="00B2449F">
        <w:t xml:space="preserve"> </w:t>
      </w:r>
      <w:r>
        <w:t xml:space="preserve">To calculate the </w:t>
      </w:r>
      <w:r w:rsidR="00B11663">
        <w:t xml:space="preserve">total time </w:t>
      </w:r>
      <w:r>
        <w:t xml:space="preserve">of </w:t>
      </w:r>
      <w:r w:rsidR="00B11663">
        <w:t>the</w:t>
      </w:r>
      <w:r>
        <w:t xml:space="preserve"> </w:t>
      </w:r>
      <w:r w:rsidR="00B11663">
        <w:t xml:space="preserve">autosampler </w:t>
      </w:r>
      <w:r>
        <w:t xml:space="preserve">experiment add the scan time and the cell cleaning time for each buffer </w:t>
      </w:r>
      <w:r w:rsidR="00833862">
        <w:t>and</w:t>
      </w:r>
      <w:r>
        <w:t xml:space="preserve"> sample acquisition. </w:t>
      </w:r>
      <w:r w:rsidR="00B2449F">
        <w:t xml:space="preserve"> </w:t>
      </w:r>
      <w:r>
        <w:t xml:space="preserve">For the above </w:t>
      </w:r>
      <w:r w:rsidR="00833862">
        <w:t>three</w:t>
      </w:r>
      <w:r>
        <w:t xml:space="preserve"> buffer</w:t>
      </w:r>
      <w:r w:rsidR="00833862">
        <w:t xml:space="preserve"> and two</w:t>
      </w:r>
      <w:r>
        <w:t xml:space="preserve"> sample sequence</w:t>
      </w:r>
      <w:r w:rsidR="00833862">
        <w:t xml:space="preserve"> </w:t>
      </w:r>
      <w:r w:rsidR="000431CE">
        <w:t>examples</w:t>
      </w:r>
      <w:r>
        <w:t xml:space="preserve">, </w:t>
      </w:r>
      <w:r w:rsidR="00833862">
        <w:t xml:space="preserve">assuming </w:t>
      </w:r>
      <w:r>
        <w:t>spectral measurement</w:t>
      </w:r>
      <w:r w:rsidR="00833862">
        <w:t>s</w:t>
      </w:r>
      <w:r>
        <w:t xml:space="preserve"> in the 200-260</w:t>
      </w:r>
      <w:r w:rsidR="00833862">
        <w:t> </w:t>
      </w:r>
      <w:r>
        <w:t>nm range, 1</w:t>
      </w:r>
      <w:r w:rsidR="00833862">
        <w:t> </w:t>
      </w:r>
      <w:r>
        <w:t>nm step, 1</w:t>
      </w:r>
      <w:r w:rsidR="00833862">
        <w:t> </w:t>
      </w:r>
      <w:r>
        <w:t xml:space="preserve">s accumulation, </w:t>
      </w:r>
      <w:r w:rsidR="00833862">
        <w:t xml:space="preserve">and </w:t>
      </w:r>
      <w:r>
        <w:t>3 averages, the total experiment time w</w:t>
      </w:r>
      <w:r w:rsidR="00207429">
        <w:t>ill</w:t>
      </w:r>
      <w:r>
        <w:t xml:space="preserve"> be approximately 50</w:t>
      </w:r>
      <w:r w:rsidR="00207429">
        <w:t> </w:t>
      </w:r>
      <w:r>
        <w:t>min</w:t>
      </w:r>
      <w:r w:rsidR="00207429">
        <w:t>utes</w:t>
      </w:r>
      <w:r>
        <w:t xml:space="preserve"> (3</w:t>
      </w:r>
      <w:r w:rsidR="00207429">
        <w:t> </w:t>
      </w:r>
      <w:r>
        <w:t>min</w:t>
      </w:r>
      <w:r w:rsidR="00207429">
        <w:t>.</w:t>
      </w:r>
      <w:r>
        <w:t xml:space="preserve"> scan</w:t>
      </w:r>
      <w:r w:rsidR="00207429">
        <w:t>s</w:t>
      </w:r>
      <w:r>
        <w:t xml:space="preserve"> </w:t>
      </w:r>
      <w:r w:rsidR="00207429">
        <w:t>and</w:t>
      </w:r>
      <w:r>
        <w:t xml:space="preserve"> 7</w:t>
      </w:r>
      <w:r w:rsidR="00207429">
        <w:t> </w:t>
      </w:r>
      <w:r>
        <w:t>min</w:t>
      </w:r>
      <w:r w:rsidR="00207429">
        <w:t>.</w:t>
      </w:r>
      <w:r>
        <w:t xml:space="preserve"> </w:t>
      </w:r>
      <w:r w:rsidR="006F179D">
        <w:t xml:space="preserve">cell </w:t>
      </w:r>
      <w:r>
        <w:t>wash</w:t>
      </w:r>
      <w:r w:rsidR="00351079">
        <w:t>ing</w:t>
      </w:r>
      <w:r>
        <w:t xml:space="preserve"> times </w:t>
      </w:r>
      <w:r w:rsidR="00753DB7">
        <w:t xml:space="preserve">multiplied by </w:t>
      </w:r>
      <w:r>
        <w:t>5 samples).</w:t>
      </w:r>
    </w:p>
    <w:p w14:paraId="4DBFE059" w14:textId="77777777" w:rsidR="00D32D0E" w:rsidRDefault="00D32D0E"/>
    <w:p w14:paraId="7B7761E4" w14:textId="082918CC" w:rsidR="00B2449F" w:rsidRPr="00CA067C" w:rsidRDefault="00CF11B3">
      <w:pPr>
        <w:rPr>
          <w:b/>
          <w:bCs/>
        </w:rPr>
      </w:pPr>
      <w:r w:rsidRPr="00CA067C">
        <w:rPr>
          <w:b/>
          <w:bCs/>
        </w:rPr>
        <w:t xml:space="preserve">Minimum </w:t>
      </w:r>
      <w:r w:rsidR="00CA067C" w:rsidRPr="00CA067C">
        <w:rPr>
          <w:b/>
          <w:bCs/>
        </w:rPr>
        <w:t>S</w:t>
      </w:r>
      <w:r w:rsidRPr="00CA067C">
        <w:rPr>
          <w:b/>
          <w:bCs/>
        </w:rPr>
        <w:t xml:space="preserve">ample </w:t>
      </w:r>
      <w:r w:rsidR="00CA067C" w:rsidRPr="00CA067C">
        <w:rPr>
          <w:b/>
          <w:bCs/>
        </w:rPr>
        <w:t>A</w:t>
      </w:r>
      <w:r w:rsidRPr="00CA067C">
        <w:rPr>
          <w:b/>
          <w:bCs/>
        </w:rPr>
        <w:t>mount:</w:t>
      </w:r>
      <w:r w:rsidR="00395032" w:rsidRPr="00CA067C">
        <w:rPr>
          <w:b/>
          <w:bCs/>
        </w:rPr>
        <w:t xml:space="preserve"> </w:t>
      </w:r>
    </w:p>
    <w:p w14:paraId="2E6C16A7" w14:textId="631EDFCB" w:rsidR="007110C5" w:rsidRDefault="00395032">
      <w:r>
        <w:t>The optimum</w:t>
      </w:r>
      <w:r w:rsidR="00351079">
        <w:t xml:space="preserve"> CD signal to noise</w:t>
      </w:r>
      <w:r>
        <w:t xml:space="preserve"> ratio requires</w:t>
      </w:r>
      <w:r w:rsidR="00351079">
        <w:t xml:space="preserve"> a sample with</w:t>
      </w:r>
      <w:r w:rsidR="002C329C">
        <w:t xml:space="preserve"> an approximately</w:t>
      </w:r>
      <w:r w:rsidR="00351079">
        <w:t xml:space="preserve"> </w:t>
      </w:r>
      <w:r>
        <w:t>0.9</w:t>
      </w:r>
      <w:r w:rsidR="002C329C">
        <w:t> </w:t>
      </w:r>
      <w:r w:rsidR="0083289B">
        <w:t>OD</w:t>
      </w:r>
      <w:r>
        <w:t xml:space="preserve">. </w:t>
      </w:r>
      <w:r w:rsidR="00B2449F">
        <w:t xml:space="preserve"> </w:t>
      </w:r>
      <w:r>
        <w:t>Th</w:t>
      </w:r>
      <w:r w:rsidR="001D327A">
        <w:t>e optical density</w:t>
      </w:r>
      <w:r>
        <w:t xml:space="preserve"> should be </w:t>
      </w:r>
      <w:r w:rsidR="007B7FDB">
        <w:t>collected</w:t>
      </w:r>
      <w:r>
        <w:t xml:space="preserve"> at the wavelength</w:t>
      </w:r>
      <w:r w:rsidR="00D1670B">
        <w:t xml:space="preserve"> range</w:t>
      </w:r>
      <w:r>
        <w:t xml:space="preserve"> and pathlength used for </w:t>
      </w:r>
      <w:r w:rsidR="002C329C">
        <w:t xml:space="preserve">the </w:t>
      </w:r>
      <w:r>
        <w:t>CD</w:t>
      </w:r>
      <w:r w:rsidR="002C329C">
        <w:t xml:space="preserve"> </w:t>
      </w:r>
      <w:r w:rsidR="000431CE">
        <w:t>scans and</w:t>
      </w:r>
      <w:r>
        <w:t xml:space="preserve"> </w:t>
      </w:r>
      <w:r w:rsidR="00D1670B">
        <w:lastRenderedPageBreak/>
        <w:t>measured</w:t>
      </w:r>
      <w:r>
        <w:t xml:space="preserve"> against water to account for both the buffer and </w:t>
      </w:r>
      <w:r w:rsidR="002C329C">
        <w:t xml:space="preserve">the </w:t>
      </w:r>
      <w:r>
        <w:t>sample absor</w:t>
      </w:r>
      <w:r w:rsidR="00405586">
        <w:t>bance</w:t>
      </w:r>
      <w:r>
        <w:t xml:space="preserve">. </w:t>
      </w:r>
      <w:r w:rsidR="00B2449F">
        <w:t xml:space="preserve"> </w:t>
      </w:r>
      <w:r>
        <w:t>Good results can be obtained for samples in the 0.4</w:t>
      </w:r>
      <w:r w:rsidR="002C329C">
        <w:t> </w:t>
      </w:r>
      <w:r>
        <w:t xml:space="preserve">OD </w:t>
      </w:r>
      <w:r w:rsidR="002C329C">
        <w:t>to</w:t>
      </w:r>
      <w:r>
        <w:t xml:space="preserve"> 1.6</w:t>
      </w:r>
      <w:r w:rsidR="002C329C">
        <w:t> </w:t>
      </w:r>
      <w:r>
        <w:t>OD range</w:t>
      </w:r>
      <w:r w:rsidR="009146A5">
        <w:t>, and</w:t>
      </w:r>
      <w:r>
        <w:t xml:space="preserve"> </w:t>
      </w:r>
      <w:r w:rsidR="009146A5">
        <w:t>s</w:t>
      </w:r>
      <w:r>
        <w:t>ample OD should n</w:t>
      </w:r>
      <w:r w:rsidR="009146A5">
        <w:t>ever</w:t>
      </w:r>
      <w:r>
        <w:t xml:space="preserve"> exceed 2. </w:t>
      </w:r>
      <w:r w:rsidR="00B2449F">
        <w:t xml:space="preserve"> </w:t>
      </w:r>
      <w:r>
        <w:t>For the Far</w:t>
      </w:r>
      <w:r w:rsidR="00CE43C2">
        <w:noBreakHyphen/>
      </w:r>
      <w:r>
        <w:t>UV CD spectra of protein samples the typical concentration required to measure</w:t>
      </w:r>
      <w:r w:rsidR="00635AB4">
        <w:t xml:space="preserve"> </w:t>
      </w:r>
      <w:r w:rsidR="00207238">
        <w:t>using</w:t>
      </w:r>
      <w:r>
        <w:t xml:space="preserve"> the 1 mm pathlength cell is </w:t>
      </w:r>
      <w:r w:rsidR="00CE43C2">
        <w:t>approximately</w:t>
      </w:r>
      <w:r>
        <w:t xml:space="preserve"> 0.1</w:t>
      </w:r>
      <w:r w:rsidR="00207238">
        <w:t> </w:t>
      </w:r>
      <w:r>
        <w:t>to 0.2</w:t>
      </w:r>
      <w:r w:rsidR="00207238">
        <w:t> </w:t>
      </w:r>
      <w:r>
        <w:t>mg/mL.</w:t>
      </w:r>
    </w:p>
    <w:p w14:paraId="0A676858" w14:textId="77777777" w:rsidR="00395032" w:rsidRDefault="00395032"/>
    <w:p w14:paraId="490F182A" w14:textId="77777777" w:rsidR="00B2449F" w:rsidRPr="00CA067C" w:rsidRDefault="0087085D" w:rsidP="00EF5977">
      <w:pPr>
        <w:rPr>
          <w:b/>
          <w:bCs/>
        </w:rPr>
      </w:pPr>
      <w:r w:rsidRPr="00CA067C">
        <w:rPr>
          <w:b/>
          <w:bCs/>
        </w:rPr>
        <w:t>Consumables</w:t>
      </w:r>
      <w:r w:rsidR="00A85793" w:rsidRPr="00CA067C">
        <w:rPr>
          <w:b/>
          <w:bCs/>
        </w:rPr>
        <w:t>:</w:t>
      </w:r>
      <w:r w:rsidR="00395032" w:rsidRPr="00CA067C">
        <w:rPr>
          <w:b/>
          <w:bCs/>
        </w:rPr>
        <w:t xml:space="preserve"> </w:t>
      </w:r>
    </w:p>
    <w:p w14:paraId="7857155D" w14:textId="6F7DD2DB" w:rsidR="00A85793" w:rsidRDefault="00EF5977" w:rsidP="00EF5977">
      <w:r>
        <w:t xml:space="preserve">We stock the deep-well autosampler plates. </w:t>
      </w:r>
      <w:r w:rsidR="005E1520">
        <w:t xml:space="preserve">Quartz </w:t>
      </w:r>
      <w:r w:rsidR="00B91F3F">
        <w:t>cells</w:t>
      </w:r>
      <w:r w:rsidR="005E1520">
        <w:t xml:space="preserve"> for CD measurements</w:t>
      </w:r>
      <w:r w:rsidR="00B91F3F">
        <w:t xml:space="preserve"> are provided by core.</w:t>
      </w:r>
    </w:p>
    <w:sectPr w:rsidR="00A85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5BC2"/>
    <w:multiLevelType w:val="hybridMultilevel"/>
    <w:tmpl w:val="FBA0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354C1"/>
    <w:multiLevelType w:val="hybridMultilevel"/>
    <w:tmpl w:val="6DC8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B2DC3"/>
    <w:multiLevelType w:val="multilevel"/>
    <w:tmpl w:val="7B2CC6A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08926345">
    <w:abstractNumId w:val="0"/>
  </w:num>
  <w:num w:numId="2" w16cid:durableId="166481980">
    <w:abstractNumId w:val="1"/>
  </w:num>
  <w:num w:numId="3" w16cid:durableId="2002267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71"/>
    <w:rsid w:val="00013D83"/>
    <w:rsid w:val="000245B6"/>
    <w:rsid w:val="00025EFC"/>
    <w:rsid w:val="00027191"/>
    <w:rsid w:val="00031AEF"/>
    <w:rsid w:val="00032DB8"/>
    <w:rsid w:val="000431CE"/>
    <w:rsid w:val="00067557"/>
    <w:rsid w:val="000A1220"/>
    <w:rsid w:val="000A19E3"/>
    <w:rsid w:val="000C7BD1"/>
    <w:rsid w:val="000D1E6C"/>
    <w:rsid w:val="000E6947"/>
    <w:rsid w:val="000F3624"/>
    <w:rsid w:val="000F68AC"/>
    <w:rsid w:val="000F68BE"/>
    <w:rsid w:val="00113A70"/>
    <w:rsid w:val="00117056"/>
    <w:rsid w:val="00145B2D"/>
    <w:rsid w:val="00150FD2"/>
    <w:rsid w:val="00152F7F"/>
    <w:rsid w:val="001552CD"/>
    <w:rsid w:val="00180AF5"/>
    <w:rsid w:val="001C514D"/>
    <w:rsid w:val="001C7CD2"/>
    <w:rsid w:val="001D327A"/>
    <w:rsid w:val="001E39A4"/>
    <w:rsid w:val="001E3E37"/>
    <w:rsid w:val="001F13FC"/>
    <w:rsid w:val="00204C72"/>
    <w:rsid w:val="00206BBD"/>
    <w:rsid w:val="00207238"/>
    <w:rsid w:val="00207429"/>
    <w:rsid w:val="0022095F"/>
    <w:rsid w:val="00226464"/>
    <w:rsid w:val="00241ED2"/>
    <w:rsid w:val="0024775B"/>
    <w:rsid w:val="00267C7E"/>
    <w:rsid w:val="00294E65"/>
    <w:rsid w:val="002A4785"/>
    <w:rsid w:val="002B5406"/>
    <w:rsid w:val="002C329C"/>
    <w:rsid w:val="002E7AC1"/>
    <w:rsid w:val="00312CF8"/>
    <w:rsid w:val="00334D68"/>
    <w:rsid w:val="0034733F"/>
    <w:rsid w:val="00351079"/>
    <w:rsid w:val="00351A59"/>
    <w:rsid w:val="00361867"/>
    <w:rsid w:val="0036461A"/>
    <w:rsid w:val="00395032"/>
    <w:rsid w:val="00395E8A"/>
    <w:rsid w:val="003A4712"/>
    <w:rsid w:val="003B1C97"/>
    <w:rsid w:val="003B5D64"/>
    <w:rsid w:val="003F0E7E"/>
    <w:rsid w:val="00405586"/>
    <w:rsid w:val="004260AB"/>
    <w:rsid w:val="00443CCC"/>
    <w:rsid w:val="00454628"/>
    <w:rsid w:val="00465D71"/>
    <w:rsid w:val="00466A0F"/>
    <w:rsid w:val="00487D6E"/>
    <w:rsid w:val="004C447E"/>
    <w:rsid w:val="004D61CE"/>
    <w:rsid w:val="004F495B"/>
    <w:rsid w:val="00506452"/>
    <w:rsid w:val="00513ED3"/>
    <w:rsid w:val="00580779"/>
    <w:rsid w:val="0058694B"/>
    <w:rsid w:val="005A56D9"/>
    <w:rsid w:val="005D0B60"/>
    <w:rsid w:val="005E1520"/>
    <w:rsid w:val="00605316"/>
    <w:rsid w:val="00613AE0"/>
    <w:rsid w:val="00635AB4"/>
    <w:rsid w:val="00640880"/>
    <w:rsid w:val="0064563E"/>
    <w:rsid w:val="00653AEE"/>
    <w:rsid w:val="00660850"/>
    <w:rsid w:val="006860EB"/>
    <w:rsid w:val="006B180F"/>
    <w:rsid w:val="006B4C1E"/>
    <w:rsid w:val="006D13D1"/>
    <w:rsid w:val="006D2817"/>
    <w:rsid w:val="006E2281"/>
    <w:rsid w:val="006F0F2C"/>
    <w:rsid w:val="006F179D"/>
    <w:rsid w:val="006F3170"/>
    <w:rsid w:val="007074C4"/>
    <w:rsid w:val="007110C5"/>
    <w:rsid w:val="00712A58"/>
    <w:rsid w:val="00743555"/>
    <w:rsid w:val="007523AE"/>
    <w:rsid w:val="00753DB7"/>
    <w:rsid w:val="00792370"/>
    <w:rsid w:val="007B7FDB"/>
    <w:rsid w:val="007F6ED6"/>
    <w:rsid w:val="007F7DCE"/>
    <w:rsid w:val="008128C7"/>
    <w:rsid w:val="00813D36"/>
    <w:rsid w:val="00830DED"/>
    <w:rsid w:val="0083289B"/>
    <w:rsid w:val="00833862"/>
    <w:rsid w:val="0085562B"/>
    <w:rsid w:val="0087085D"/>
    <w:rsid w:val="00897802"/>
    <w:rsid w:val="008A7AD8"/>
    <w:rsid w:val="008B1510"/>
    <w:rsid w:val="008F7A57"/>
    <w:rsid w:val="009146A5"/>
    <w:rsid w:val="0094669B"/>
    <w:rsid w:val="009648DA"/>
    <w:rsid w:val="00964FF2"/>
    <w:rsid w:val="00992C73"/>
    <w:rsid w:val="00997306"/>
    <w:rsid w:val="009C481C"/>
    <w:rsid w:val="009D1E78"/>
    <w:rsid w:val="009E288F"/>
    <w:rsid w:val="009F6FCE"/>
    <w:rsid w:val="00A12890"/>
    <w:rsid w:val="00A41428"/>
    <w:rsid w:val="00A4182B"/>
    <w:rsid w:val="00A41E3B"/>
    <w:rsid w:val="00A42E7F"/>
    <w:rsid w:val="00A45C0D"/>
    <w:rsid w:val="00A85793"/>
    <w:rsid w:val="00A91766"/>
    <w:rsid w:val="00A9513B"/>
    <w:rsid w:val="00AB6B63"/>
    <w:rsid w:val="00AE2B90"/>
    <w:rsid w:val="00B0450E"/>
    <w:rsid w:val="00B11663"/>
    <w:rsid w:val="00B1739B"/>
    <w:rsid w:val="00B2449F"/>
    <w:rsid w:val="00B32A59"/>
    <w:rsid w:val="00B40E6A"/>
    <w:rsid w:val="00B57692"/>
    <w:rsid w:val="00B602A6"/>
    <w:rsid w:val="00B67E4A"/>
    <w:rsid w:val="00B90161"/>
    <w:rsid w:val="00B91F3F"/>
    <w:rsid w:val="00BB165C"/>
    <w:rsid w:val="00BB7A63"/>
    <w:rsid w:val="00BC620F"/>
    <w:rsid w:val="00BC71C4"/>
    <w:rsid w:val="00BE55AC"/>
    <w:rsid w:val="00BF63C7"/>
    <w:rsid w:val="00C01A79"/>
    <w:rsid w:val="00C56D2B"/>
    <w:rsid w:val="00C873E5"/>
    <w:rsid w:val="00C940FD"/>
    <w:rsid w:val="00CA067C"/>
    <w:rsid w:val="00CA7818"/>
    <w:rsid w:val="00CE43C2"/>
    <w:rsid w:val="00CF073C"/>
    <w:rsid w:val="00CF11B3"/>
    <w:rsid w:val="00D06375"/>
    <w:rsid w:val="00D1670B"/>
    <w:rsid w:val="00D17230"/>
    <w:rsid w:val="00D23B3C"/>
    <w:rsid w:val="00D325C6"/>
    <w:rsid w:val="00D32D0E"/>
    <w:rsid w:val="00D33F8E"/>
    <w:rsid w:val="00D34C85"/>
    <w:rsid w:val="00D45A87"/>
    <w:rsid w:val="00D626F1"/>
    <w:rsid w:val="00D6353E"/>
    <w:rsid w:val="00D95B15"/>
    <w:rsid w:val="00D962C3"/>
    <w:rsid w:val="00DB7986"/>
    <w:rsid w:val="00DC13B0"/>
    <w:rsid w:val="00DC3B57"/>
    <w:rsid w:val="00DD0A63"/>
    <w:rsid w:val="00DD11AC"/>
    <w:rsid w:val="00DE7BB9"/>
    <w:rsid w:val="00DF5D63"/>
    <w:rsid w:val="00DF602B"/>
    <w:rsid w:val="00E06DB3"/>
    <w:rsid w:val="00E07BE8"/>
    <w:rsid w:val="00E15744"/>
    <w:rsid w:val="00E202A2"/>
    <w:rsid w:val="00E20EF0"/>
    <w:rsid w:val="00E251D0"/>
    <w:rsid w:val="00E273D2"/>
    <w:rsid w:val="00EA377D"/>
    <w:rsid w:val="00EF5977"/>
    <w:rsid w:val="00F02D27"/>
    <w:rsid w:val="00F04AEA"/>
    <w:rsid w:val="00F050A0"/>
    <w:rsid w:val="00F050DF"/>
    <w:rsid w:val="00F3377C"/>
    <w:rsid w:val="00F337E9"/>
    <w:rsid w:val="00F34AB9"/>
    <w:rsid w:val="00F459EA"/>
    <w:rsid w:val="00F51258"/>
    <w:rsid w:val="00F531CA"/>
    <w:rsid w:val="00F53BA4"/>
    <w:rsid w:val="00F5547E"/>
    <w:rsid w:val="00F7063F"/>
    <w:rsid w:val="00F777EA"/>
    <w:rsid w:val="00F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4CC6"/>
  <w15:chartTrackingRefBased/>
  <w15:docId w15:val="{E16CE04B-7475-4FCA-B393-4728698D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13B"/>
    <w:pPr>
      <w:ind w:left="720"/>
      <w:contextualSpacing/>
    </w:pPr>
  </w:style>
  <w:style w:type="paragraph" w:styleId="Revision">
    <w:name w:val="Revision"/>
    <w:hidden/>
    <w:uiPriority w:val="99"/>
    <w:semiHidden/>
    <w:rsid w:val="00334D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6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4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c90088-219e-4c9b-82a3-6af9eac453ef">
      <Terms xmlns="http://schemas.microsoft.com/office/infopath/2007/PartnerControls"/>
    </lcf76f155ced4ddcb4097134ff3c332f>
    <TaxCatchAll xmlns="8a2ec96e-1c69-44c9-bea6-6e2aec713c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F7C6CA772234F929C81E67989BEAE" ma:contentTypeVersion="13" ma:contentTypeDescription="Create a new document." ma:contentTypeScope="" ma:versionID="3ab1fef919559174707f2281ebe01bc6">
  <xsd:schema xmlns:xsd="http://www.w3.org/2001/XMLSchema" xmlns:xs="http://www.w3.org/2001/XMLSchema" xmlns:p="http://schemas.microsoft.com/office/2006/metadata/properties" xmlns:ns2="31c90088-219e-4c9b-82a3-6af9eac453ef" xmlns:ns3="8a2ec96e-1c69-44c9-bea6-6e2aec713c44" targetNamespace="http://schemas.microsoft.com/office/2006/metadata/properties" ma:root="true" ma:fieldsID="1757f3b34b848d864d63c803155d7d0d" ns2:_="" ns3:_="">
    <xsd:import namespace="31c90088-219e-4c9b-82a3-6af9eac453ef"/>
    <xsd:import namespace="8a2ec96e-1c69-44c9-bea6-6e2aec713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90088-219e-4c9b-82a3-6af9eac4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c96e-1c69-44c9-bea6-6e2aec713c4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208399d-e65f-4f13-860c-790db5f61f54}" ma:internalName="TaxCatchAll" ma:showField="CatchAllData" ma:web="8a2ec96e-1c69-44c9-bea6-6e2aec713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3F057-CEE1-4C48-AD81-3949C443CCC6}">
  <ds:schemaRefs>
    <ds:schemaRef ds:uri="http://schemas.microsoft.com/office/2006/metadata/properties"/>
    <ds:schemaRef ds:uri="http://schemas.microsoft.com/office/infopath/2007/PartnerControls"/>
    <ds:schemaRef ds:uri="31c90088-219e-4c9b-82a3-6af9eac453ef"/>
    <ds:schemaRef ds:uri="8a2ec96e-1c69-44c9-bea6-6e2aec713c44"/>
  </ds:schemaRefs>
</ds:datastoreItem>
</file>

<file path=customXml/itemProps2.xml><?xml version="1.0" encoding="utf-8"?>
<ds:datastoreItem xmlns:ds="http://schemas.openxmlformats.org/officeDocument/2006/customXml" ds:itemID="{6132FCB6-F7FD-4C1B-B63F-9B79F494B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BB479-EFFD-49B1-AE9E-6248989318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71C676-4184-4E2E-9BAC-2EF2D502A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90088-219e-4c9b-82a3-6af9eac453ef"/>
    <ds:schemaRef ds:uri="8a2ec96e-1c69-44c9-bea6-6e2aec713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Piszczek, Grzegorz (NIH/NHLBI) [E]</dc:creator>
  <cp:keywords/>
  <dc:description/>
  <cp:lastModifiedBy>Foley, Jason (NIH/NCI) [E]</cp:lastModifiedBy>
  <cp:revision>6</cp:revision>
  <dcterms:created xsi:type="dcterms:W3CDTF">2023-04-21T16:59:00Z</dcterms:created>
  <dcterms:modified xsi:type="dcterms:W3CDTF">2023-04-21T17:19:00Z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0x010100107F7C6CA772234F929C81E67989BEAE</vt:lpwstr>
  </property>
  <property fmtid="{D5CDD505-2E9C-101B-9397-08002B2CF9AE}" pid="3" name="MediaServiceImageTags">
    <vt:lpwstr/>
  </property>
</Properties>
</file>